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19F0" w:rsidRPr="00A119F0" w:rsidRDefault="00A119F0" w:rsidP="00A119F0">
      <w:pPr>
        <w:spacing w:line="480" w:lineRule="auto"/>
        <w:jc w:val="center"/>
        <w:rPr>
          <w:rFonts w:ascii="Times New Roman" w:hAnsi="Times New Roman" w:cs="Times New Roman"/>
          <w:sz w:val="24"/>
          <w:szCs w:val="24"/>
        </w:rPr>
      </w:pPr>
      <w:bookmarkStart w:id="0" w:name="_GoBack"/>
      <w:bookmarkEnd w:id="0"/>
    </w:p>
    <w:p w:rsidR="00A119F0" w:rsidRPr="00A119F0" w:rsidRDefault="00A119F0" w:rsidP="00A119F0">
      <w:pPr>
        <w:spacing w:line="480" w:lineRule="auto"/>
        <w:jc w:val="center"/>
        <w:rPr>
          <w:rFonts w:ascii="Times New Roman" w:hAnsi="Times New Roman" w:cs="Times New Roman"/>
          <w:sz w:val="24"/>
          <w:szCs w:val="24"/>
        </w:rPr>
      </w:pPr>
    </w:p>
    <w:p w:rsidR="00A119F0" w:rsidRPr="00A119F0" w:rsidRDefault="00A119F0" w:rsidP="00A119F0">
      <w:pPr>
        <w:spacing w:line="480" w:lineRule="auto"/>
        <w:jc w:val="center"/>
        <w:rPr>
          <w:rFonts w:ascii="Times New Roman" w:hAnsi="Times New Roman" w:cs="Times New Roman"/>
          <w:sz w:val="24"/>
          <w:szCs w:val="24"/>
        </w:rPr>
      </w:pPr>
    </w:p>
    <w:p w:rsidR="00A119F0" w:rsidRPr="00A119F0" w:rsidRDefault="00A119F0" w:rsidP="00A119F0">
      <w:pPr>
        <w:spacing w:line="480" w:lineRule="auto"/>
        <w:jc w:val="center"/>
        <w:rPr>
          <w:rFonts w:ascii="Times New Roman" w:hAnsi="Times New Roman" w:cs="Times New Roman"/>
          <w:sz w:val="24"/>
          <w:szCs w:val="24"/>
        </w:rPr>
      </w:pPr>
    </w:p>
    <w:p w:rsidR="00A119F0" w:rsidRPr="00A119F0" w:rsidRDefault="00A119F0" w:rsidP="00A119F0">
      <w:pPr>
        <w:spacing w:line="480" w:lineRule="auto"/>
        <w:jc w:val="center"/>
        <w:rPr>
          <w:rFonts w:ascii="Times New Roman" w:hAnsi="Times New Roman" w:cs="Times New Roman"/>
          <w:sz w:val="24"/>
          <w:szCs w:val="24"/>
        </w:rPr>
      </w:pPr>
    </w:p>
    <w:p w:rsidR="00A119F0" w:rsidRPr="00A119F0" w:rsidRDefault="00A119F0" w:rsidP="00A119F0">
      <w:pPr>
        <w:spacing w:line="480" w:lineRule="auto"/>
        <w:jc w:val="center"/>
        <w:rPr>
          <w:rFonts w:ascii="Times New Roman" w:hAnsi="Times New Roman" w:cs="Times New Roman"/>
          <w:sz w:val="24"/>
          <w:szCs w:val="24"/>
        </w:rPr>
      </w:pPr>
    </w:p>
    <w:p w:rsidR="00A119F0" w:rsidRPr="00A119F0" w:rsidRDefault="00A119F0" w:rsidP="00A119F0">
      <w:pPr>
        <w:spacing w:line="480" w:lineRule="auto"/>
        <w:jc w:val="center"/>
        <w:rPr>
          <w:rFonts w:ascii="Times New Roman" w:hAnsi="Times New Roman" w:cs="Times New Roman"/>
          <w:sz w:val="24"/>
          <w:szCs w:val="24"/>
        </w:rPr>
      </w:pPr>
    </w:p>
    <w:p w:rsidR="00A119F0" w:rsidRPr="00A119F0" w:rsidRDefault="00A119F0" w:rsidP="00A119F0">
      <w:pPr>
        <w:spacing w:line="480" w:lineRule="auto"/>
        <w:jc w:val="center"/>
        <w:rPr>
          <w:rFonts w:ascii="Times New Roman" w:hAnsi="Times New Roman" w:cs="Times New Roman"/>
          <w:sz w:val="24"/>
          <w:szCs w:val="24"/>
        </w:rPr>
      </w:pPr>
    </w:p>
    <w:p w:rsidR="00DD64D2" w:rsidRPr="00A119F0" w:rsidRDefault="009A5AED" w:rsidP="00A119F0">
      <w:pPr>
        <w:spacing w:line="480" w:lineRule="auto"/>
        <w:jc w:val="center"/>
        <w:rPr>
          <w:rFonts w:ascii="Times New Roman" w:hAnsi="Times New Roman" w:cs="Times New Roman"/>
          <w:sz w:val="24"/>
          <w:szCs w:val="24"/>
        </w:rPr>
      </w:pPr>
      <w:r w:rsidRPr="00A119F0">
        <w:rPr>
          <w:rFonts w:ascii="Times New Roman" w:hAnsi="Times New Roman" w:cs="Times New Roman"/>
          <w:sz w:val="24"/>
          <w:szCs w:val="24"/>
        </w:rPr>
        <w:t>Risk Areas for the Amazon Business</w:t>
      </w:r>
    </w:p>
    <w:p w:rsidR="00A119F0" w:rsidRPr="00A119F0" w:rsidRDefault="00A119F0" w:rsidP="00A119F0">
      <w:pPr>
        <w:spacing w:line="480" w:lineRule="auto"/>
        <w:jc w:val="center"/>
        <w:rPr>
          <w:rFonts w:ascii="Times New Roman" w:hAnsi="Times New Roman" w:cs="Times New Roman"/>
          <w:sz w:val="24"/>
          <w:szCs w:val="24"/>
        </w:rPr>
      </w:pPr>
      <w:r w:rsidRPr="00A119F0">
        <w:rPr>
          <w:rFonts w:ascii="Times New Roman" w:hAnsi="Times New Roman" w:cs="Times New Roman"/>
          <w:sz w:val="24"/>
          <w:szCs w:val="24"/>
        </w:rPr>
        <w:t>Name</w:t>
      </w:r>
    </w:p>
    <w:p w:rsidR="00A119F0" w:rsidRPr="00A119F0" w:rsidRDefault="00A119F0" w:rsidP="00A119F0">
      <w:pPr>
        <w:spacing w:line="480" w:lineRule="auto"/>
        <w:jc w:val="center"/>
        <w:rPr>
          <w:rFonts w:ascii="Times New Roman" w:hAnsi="Times New Roman" w:cs="Times New Roman"/>
          <w:sz w:val="24"/>
          <w:szCs w:val="24"/>
        </w:rPr>
      </w:pPr>
      <w:r w:rsidRPr="00A119F0">
        <w:rPr>
          <w:rFonts w:ascii="Times New Roman" w:hAnsi="Times New Roman" w:cs="Times New Roman"/>
          <w:sz w:val="24"/>
          <w:szCs w:val="24"/>
        </w:rPr>
        <w:t>Institution</w:t>
      </w:r>
    </w:p>
    <w:p w:rsidR="00A119F0" w:rsidRPr="00A119F0" w:rsidRDefault="00A119F0" w:rsidP="00A119F0">
      <w:pPr>
        <w:spacing w:line="480" w:lineRule="auto"/>
        <w:jc w:val="center"/>
        <w:rPr>
          <w:rFonts w:ascii="Times New Roman" w:hAnsi="Times New Roman" w:cs="Times New Roman"/>
          <w:sz w:val="24"/>
          <w:szCs w:val="24"/>
        </w:rPr>
      </w:pPr>
      <w:r w:rsidRPr="00A119F0">
        <w:rPr>
          <w:rFonts w:ascii="Times New Roman" w:hAnsi="Times New Roman" w:cs="Times New Roman"/>
          <w:sz w:val="24"/>
          <w:szCs w:val="24"/>
        </w:rPr>
        <w:t>Date</w:t>
      </w:r>
    </w:p>
    <w:p w:rsidR="00A119F0" w:rsidRPr="00A119F0" w:rsidRDefault="00A119F0" w:rsidP="00A119F0">
      <w:pPr>
        <w:spacing w:line="480" w:lineRule="auto"/>
        <w:jc w:val="center"/>
        <w:rPr>
          <w:rFonts w:ascii="Times New Roman" w:hAnsi="Times New Roman" w:cs="Times New Roman"/>
          <w:sz w:val="24"/>
          <w:szCs w:val="24"/>
        </w:rPr>
      </w:pPr>
    </w:p>
    <w:p w:rsidR="00A119F0" w:rsidRPr="00A119F0" w:rsidRDefault="00A119F0" w:rsidP="00A119F0">
      <w:pPr>
        <w:spacing w:line="480" w:lineRule="auto"/>
        <w:jc w:val="center"/>
        <w:rPr>
          <w:rFonts w:ascii="Times New Roman" w:hAnsi="Times New Roman" w:cs="Times New Roman"/>
          <w:sz w:val="24"/>
          <w:szCs w:val="24"/>
        </w:rPr>
      </w:pPr>
    </w:p>
    <w:p w:rsidR="00A119F0" w:rsidRPr="00A119F0" w:rsidRDefault="00A119F0" w:rsidP="00A119F0">
      <w:pPr>
        <w:spacing w:line="480" w:lineRule="auto"/>
        <w:jc w:val="center"/>
        <w:rPr>
          <w:rFonts w:ascii="Times New Roman" w:hAnsi="Times New Roman" w:cs="Times New Roman"/>
          <w:sz w:val="24"/>
          <w:szCs w:val="24"/>
        </w:rPr>
      </w:pPr>
    </w:p>
    <w:p w:rsidR="00A119F0" w:rsidRPr="00A119F0" w:rsidRDefault="00A119F0" w:rsidP="00A119F0">
      <w:pPr>
        <w:spacing w:line="480" w:lineRule="auto"/>
        <w:jc w:val="center"/>
        <w:rPr>
          <w:rFonts w:ascii="Times New Roman" w:hAnsi="Times New Roman" w:cs="Times New Roman"/>
          <w:sz w:val="24"/>
          <w:szCs w:val="24"/>
        </w:rPr>
      </w:pPr>
    </w:p>
    <w:p w:rsidR="00A119F0" w:rsidRPr="00A119F0" w:rsidRDefault="00A119F0" w:rsidP="00A119F0">
      <w:pPr>
        <w:spacing w:line="480" w:lineRule="auto"/>
        <w:jc w:val="center"/>
        <w:rPr>
          <w:rFonts w:ascii="Times New Roman" w:hAnsi="Times New Roman" w:cs="Times New Roman"/>
          <w:sz w:val="24"/>
          <w:szCs w:val="24"/>
        </w:rPr>
      </w:pPr>
    </w:p>
    <w:p w:rsidR="00A119F0" w:rsidRPr="00A119F0" w:rsidRDefault="00A119F0" w:rsidP="00A119F0">
      <w:pPr>
        <w:spacing w:line="480" w:lineRule="auto"/>
        <w:jc w:val="center"/>
        <w:rPr>
          <w:rFonts w:ascii="Times New Roman" w:hAnsi="Times New Roman" w:cs="Times New Roman"/>
          <w:sz w:val="24"/>
          <w:szCs w:val="24"/>
        </w:rPr>
      </w:pPr>
      <w:r w:rsidRPr="00A119F0">
        <w:rPr>
          <w:rFonts w:ascii="Times New Roman" w:hAnsi="Times New Roman" w:cs="Times New Roman"/>
          <w:sz w:val="24"/>
          <w:szCs w:val="24"/>
        </w:rPr>
        <w:lastRenderedPageBreak/>
        <w:t>Risk Areas for the Amazon Business</w:t>
      </w:r>
    </w:p>
    <w:p w:rsidR="00BB7247" w:rsidRPr="00BB7247" w:rsidRDefault="00BB7247" w:rsidP="00BB7247">
      <w:pPr>
        <w:spacing w:line="480" w:lineRule="auto"/>
        <w:ind w:firstLine="720"/>
        <w:rPr>
          <w:rFonts w:ascii="Times New Roman" w:hAnsi="Times New Roman" w:cs="Times New Roman"/>
          <w:sz w:val="24"/>
          <w:szCs w:val="24"/>
        </w:rPr>
      </w:pPr>
      <w:r w:rsidRPr="00BB7247">
        <w:rPr>
          <w:rFonts w:ascii="Times New Roman" w:hAnsi="Times New Roman" w:cs="Times New Roman"/>
          <w:sz w:val="24"/>
          <w:szCs w:val="24"/>
        </w:rPr>
        <w:t xml:space="preserve">Risk areas are key factors of focus in every business, and hence, Amazon is not exceptional. As evident, a risk area identifies with varied possibilities that may hinder a business from attaining a business goal (Aiello, 2018). It should be noted that the risks facing a typical business are broad and they include a variety of things that can control the firm’s strategy in addition to things that are beyond control such as the global economy. This study is aimed at offering accurate identification of varied risk areas in Amazon business and the affiliated types of risk in each risk area. </w:t>
      </w:r>
    </w:p>
    <w:p w:rsidR="00BB7247" w:rsidRDefault="00BB7247" w:rsidP="00BB7247">
      <w:pPr>
        <w:spacing w:line="480" w:lineRule="auto"/>
        <w:ind w:firstLine="720"/>
        <w:rPr>
          <w:rFonts w:ascii="Times New Roman" w:hAnsi="Times New Roman" w:cs="Times New Roman"/>
          <w:sz w:val="24"/>
          <w:szCs w:val="24"/>
        </w:rPr>
      </w:pPr>
      <w:r w:rsidRPr="00BB7247">
        <w:rPr>
          <w:rFonts w:ascii="Times New Roman" w:hAnsi="Times New Roman" w:cs="Times New Roman"/>
          <w:sz w:val="24"/>
          <w:szCs w:val="24"/>
        </w:rPr>
        <w:t xml:space="preserve">Marketing is one of the core risk areas, and it identifies with the major areas of potential losses and failures of marketing (Grey, 2019). In Amazon, the major risks associated with marketing include currency risks and competitive market. Another risk area for Amazon is the finance area, which entails acute attention to the aspects of financial performance, risks, positions, and core areas of the forecast. The major types of risks Amazon’s financial area include marketing risk and operation risk (Amazon, 2016). The legal area is another major risk area for Amazon which might occur as a result of misunderstandings of how laws, as well as regulations, apply to the entire business based on its relationships, products, processes, as services. The risks associated with legal area include compliance risks and contract risks (Berg &amp; Knights, 2019). Technology is another risk area for Amazon in that it subjects the entire firm to the risks of cybercrime associated with malicious software which are designed to disrupt the wide range of computer operations. Technology risk area is attached to risks such as geofencing risks and big data risks (Chaffey, 2015). Investment is another risk area for Amazon because it subjects the business into core issues such as purchase securities. It is always important to </w:t>
      </w:r>
      <w:r w:rsidRPr="00BB7247">
        <w:rPr>
          <w:rFonts w:ascii="Times New Roman" w:hAnsi="Times New Roman" w:cs="Times New Roman"/>
          <w:sz w:val="24"/>
          <w:szCs w:val="24"/>
        </w:rPr>
        <w:lastRenderedPageBreak/>
        <w:t xml:space="preserve">understand the risks associated with investment to make the project successful. From this risk area, Amazon it is faced with risks such as global inflation rates and liquidity risks.   </w:t>
      </w:r>
    </w:p>
    <w:p w:rsidR="00A119F0" w:rsidRPr="00A119F0" w:rsidRDefault="00A119F0" w:rsidP="00BB7247">
      <w:pPr>
        <w:spacing w:line="480" w:lineRule="auto"/>
        <w:ind w:firstLine="720"/>
        <w:jc w:val="center"/>
        <w:rPr>
          <w:rFonts w:ascii="Times New Roman" w:hAnsi="Times New Roman" w:cs="Times New Roman"/>
          <w:sz w:val="24"/>
          <w:szCs w:val="24"/>
        </w:rPr>
      </w:pPr>
      <w:r w:rsidRPr="00A119F0">
        <w:rPr>
          <w:rFonts w:ascii="Times New Roman" w:hAnsi="Times New Roman" w:cs="Times New Roman"/>
          <w:sz w:val="24"/>
          <w:szCs w:val="24"/>
        </w:rPr>
        <w:t>Risk Assessment Matrix</w:t>
      </w:r>
    </w:p>
    <w:tbl>
      <w:tblPr>
        <w:tblStyle w:val="TableGrid"/>
        <w:tblW w:w="0" w:type="auto"/>
        <w:tblInd w:w="-252" w:type="dxa"/>
        <w:tblLayout w:type="fixed"/>
        <w:tblLook w:val="04A0" w:firstRow="1" w:lastRow="0" w:firstColumn="1" w:lastColumn="0" w:noHBand="0" w:noVBand="1"/>
      </w:tblPr>
      <w:tblGrid>
        <w:gridCol w:w="1529"/>
        <w:gridCol w:w="1621"/>
        <w:gridCol w:w="2340"/>
        <w:gridCol w:w="1350"/>
        <w:gridCol w:w="1710"/>
        <w:gridCol w:w="1278"/>
      </w:tblGrid>
      <w:tr w:rsidR="00B20B52" w:rsidRPr="00A119F0" w:rsidTr="00A119F0">
        <w:tc>
          <w:tcPr>
            <w:tcW w:w="1529" w:type="dxa"/>
          </w:tcPr>
          <w:p w:rsidR="00F91EB4" w:rsidRPr="00A119F0" w:rsidRDefault="00F91EB4"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Risk Area</w:t>
            </w:r>
          </w:p>
        </w:tc>
        <w:tc>
          <w:tcPr>
            <w:tcW w:w="1621" w:type="dxa"/>
          </w:tcPr>
          <w:p w:rsidR="00F91EB4" w:rsidRPr="00A119F0" w:rsidRDefault="00F91EB4"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Types of Risks</w:t>
            </w:r>
          </w:p>
        </w:tc>
        <w:tc>
          <w:tcPr>
            <w:tcW w:w="2340" w:type="dxa"/>
          </w:tcPr>
          <w:p w:rsidR="00F91EB4" w:rsidRPr="00A119F0" w:rsidRDefault="00F91EB4"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Risks Impact</w:t>
            </w:r>
          </w:p>
        </w:tc>
        <w:tc>
          <w:tcPr>
            <w:tcW w:w="1350" w:type="dxa"/>
          </w:tcPr>
          <w:p w:rsidR="00A119F0" w:rsidRDefault="00F91EB4"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Likelihood</w:t>
            </w:r>
          </w:p>
          <w:p w:rsidR="00F91EB4" w:rsidRPr="00A119F0" w:rsidRDefault="00F91EB4" w:rsidP="00A119F0">
            <w:pPr>
              <w:rPr>
                <w:rFonts w:ascii="Times New Roman" w:hAnsi="Times New Roman" w:cs="Times New Roman"/>
                <w:sz w:val="24"/>
                <w:szCs w:val="24"/>
              </w:rPr>
            </w:pPr>
          </w:p>
        </w:tc>
        <w:tc>
          <w:tcPr>
            <w:tcW w:w="1710" w:type="dxa"/>
          </w:tcPr>
          <w:p w:rsidR="00F91EB4" w:rsidRPr="00A119F0" w:rsidRDefault="00F91EB4"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Potential Mitigation Risk Owner</w:t>
            </w:r>
            <w:r w:rsidR="00B20B52" w:rsidRPr="00A119F0">
              <w:rPr>
                <w:rFonts w:ascii="Times New Roman" w:hAnsi="Times New Roman" w:cs="Times New Roman"/>
                <w:sz w:val="24"/>
                <w:szCs w:val="24"/>
              </w:rPr>
              <w:t xml:space="preserve"> (department)</w:t>
            </w:r>
          </w:p>
        </w:tc>
        <w:tc>
          <w:tcPr>
            <w:tcW w:w="1278" w:type="dxa"/>
          </w:tcPr>
          <w:p w:rsidR="00F91EB4" w:rsidRPr="00A119F0" w:rsidRDefault="00F91EB4"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Measurement Scale</w:t>
            </w:r>
          </w:p>
        </w:tc>
      </w:tr>
      <w:tr w:rsidR="00A119F0" w:rsidRPr="00A119F0" w:rsidTr="00A119F0">
        <w:trPr>
          <w:trHeight w:val="255"/>
        </w:trPr>
        <w:tc>
          <w:tcPr>
            <w:tcW w:w="1529" w:type="dxa"/>
            <w:vMerge w:val="restart"/>
          </w:tcPr>
          <w:p w:rsidR="008A694E" w:rsidRPr="00A119F0" w:rsidRDefault="008A694E"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Marketing</w:t>
            </w:r>
          </w:p>
        </w:tc>
        <w:tc>
          <w:tcPr>
            <w:tcW w:w="1621" w:type="dxa"/>
          </w:tcPr>
          <w:p w:rsidR="008A694E" w:rsidRPr="00A119F0" w:rsidRDefault="008A694E"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Competitive market</w:t>
            </w:r>
          </w:p>
        </w:tc>
        <w:tc>
          <w:tcPr>
            <w:tcW w:w="2340" w:type="dxa"/>
          </w:tcPr>
          <w:p w:rsidR="008A694E" w:rsidRPr="00A119F0" w:rsidRDefault="008A694E"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Reduced global  market share</w:t>
            </w:r>
          </w:p>
        </w:tc>
        <w:tc>
          <w:tcPr>
            <w:tcW w:w="1350" w:type="dxa"/>
          </w:tcPr>
          <w:p w:rsidR="008A694E" w:rsidRPr="00A119F0" w:rsidRDefault="001D4D0A"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Highly possible</w:t>
            </w:r>
          </w:p>
        </w:tc>
        <w:tc>
          <w:tcPr>
            <w:tcW w:w="1710" w:type="dxa"/>
          </w:tcPr>
          <w:p w:rsidR="008A694E" w:rsidRPr="00A119F0" w:rsidRDefault="00F23E4A"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 xml:space="preserve">Marketing </w:t>
            </w:r>
          </w:p>
        </w:tc>
        <w:tc>
          <w:tcPr>
            <w:tcW w:w="1278" w:type="dxa"/>
          </w:tcPr>
          <w:p w:rsidR="008A694E"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4</w:t>
            </w:r>
          </w:p>
        </w:tc>
      </w:tr>
      <w:tr w:rsidR="00A119F0" w:rsidRPr="00A119F0" w:rsidTr="00A119F0">
        <w:trPr>
          <w:trHeight w:val="285"/>
        </w:trPr>
        <w:tc>
          <w:tcPr>
            <w:tcW w:w="1529" w:type="dxa"/>
            <w:vMerge/>
          </w:tcPr>
          <w:p w:rsidR="008A694E" w:rsidRPr="00A119F0" w:rsidRDefault="008A694E" w:rsidP="00A119F0">
            <w:pPr>
              <w:spacing w:line="480" w:lineRule="auto"/>
              <w:rPr>
                <w:rFonts w:ascii="Times New Roman" w:hAnsi="Times New Roman" w:cs="Times New Roman"/>
                <w:sz w:val="24"/>
                <w:szCs w:val="24"/>
              </w:rPr>
            </w:pPr>
          </w:p>
        </w:tc>
        <w:tc>
          <w:tcPr>
            <w:tcW w:w="1621" w:type="dxa"/>
          </w:tcPr>
          <w:p w:rsidR="008A694E" w:rsidRPr="00A119F0" w:rsidRDefault="008A694E"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Currency risks</w:t>
            </w:r>
          </w:p>
        </w:tc>
        <w:tc>
          <w:tcPr>
            <w:tcW w:w="2340" w:type="dxa"/>
          </w:tcPr>
          <w:p w:rsidR="008A694E" w:rsidRPr="00A119F0" w:rsidRDefault="008A694E"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Loss of value of foreign assets</w:t>
            </w:r>
          </w:p>
        </w:tc>
        <w:tc>
          <w:tcPr>
            <w:tcW w:w="1350" w:type="dxa"/>
          </w:tcPr>
          <w:p w:rsidR="008A694E" w:rsidRPr="00A119F0" w:rsidRDefault="001D4D0A"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 xml:space="preserve">Possible </w:t>
            </w:r>
          </w:p>
        </w:tc>
        <w:tc>
          <w:tcPr>
            <w:tcW w:w="1710" w:type="dxa"/>
          </w:tcPr>
          <w:p w:rsidR="008A694E"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F</w:t>
            </w:r>
            <w:r w:rsidR="00F23E4A" w:rsidRPr="00A119F0">
              <w:rPr>
                <w:rFonts w:ascii="Times New Roman" w:hAnsi="Times New Roman" w:cs="Times New Roman"/>
                <w:sz w:val="24"/>
                <w:szCs w:val="24"/>
              </w:rPr>
              <w:t>inance</w:t>
            </w:r>
          </w:p>
        </w:tc>
        <w:tc>
          <w:tcPr>
            <w:tcW w:w="1278" w:type="dxa"/>
          </w:tcPr>
          <w:p w:rsidR="008A694E"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3</w:t>
            </w:r>
          </w:p>
        </w:tc>
      </w:tr>
      <w:tr w:rsidR="00A119F0" w:rsidRPr="00A119F0" w:rsidTr="00A119F0">
        <w:trPr>
          <w:trHeight w:val="315"/>
        </w:trPr>
        <w:tc>
          <w:tcPr>
            <w:tcW w:w="1529" w:type="dxa"/>
            <w:vMerge w:val="restart"/>
          </w:tcPr>
          <w:p w:rsidR="008A694E" w:rsidRPr="00A119F0" w:rsidRDefault="008A694E"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Finance</w:t>
            </w:r>
          </w:p>
        </w:tc>
        <w:tc>
          <w:tcPr>
            <w:tcW w:w="1621" w:type="dxa"/>
          </w:tcPr>
          <w:p w:rsidR="008A694E" w:rsidRPr="00A119F0" w:rsidRDefault="008A694E"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Marketing risk</w:t>
            </w:r>
          </w:p>
        </w:tc>
        <w:tc>
          <w:tcPr>
            <w:tcW w:w="2340" w:type="dxa"/>
          </w:tcPr>
          <w:p w:rsidR="008A694E" w:rsidRPr="00A119F0" w:rsidRDefault="001D4D0A"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Reduced penetration to global market</w:t>
            </w:r>
          </w:p>
        </w:tc>
        <w:tc>
          <w:tcPr>
            <w:tcW w:w="1350" w:type="dxa"/>
          </w:tcPr>
          <w:p w:rsidR="008A694E" w:rsidRPr="00A119F0" w:rsidRDefault="008511A3"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 xml:space="preserve">Possible </w:t>
            </w:r>
          </w:p>
        </w:tc>
        <w:tc>
          <w:tcPr>
            <w:tcW w:w="1710" w:type="dxa"/>
          </w:tcPr>
          <w:p w:rsidR="008A694E"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M</w:t>
            </w:r>
            <w:r w:rsidR="00F23E4A" w:rsidRPr="00A119F0">
              <w:rPr>
                <w:rFonts w:ascii="Times New Roman" w:hAnsi="Times New Roman" w:cs="Times New Roman"/>
                <w:sz w:val="24"/>
                <w:szCs w:val="24"/>
              </w:rPr>
              <w:t>arketing</w:t>
            </w:r>
          </w:p>
        </w:tc>
        <w:tc>
          <w:tcPr>
            <w:tcW w:w="1278" w:type="dxa"/>
          </w:tcPr>
          <w:p w:rsidR="008A694E"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4</w:t>
            </w:r>
          </w:p>
        </w:tc>
      </w:tr>
      <w:tr w:rsidR="00A119F0" w:rsidRPr="00A119F0" w:rsidTr="00A119F0">
        <w:trPr>
          <w:trHeight w:val="210"/>
        </w:trPr>
        <w:tc>
          <w:tcPr>
            <w:tcW w:w="1529" w:type="dxa"/>
            <w:vMerge/>
          </w:tcPr>
          <w:p w:rsidR="008A694E" w:rsidRPr="00A119F0" w:rsidRDefault="008A694E" w:rsidP="00A119F0">
            <w:pPr>
              <w:spacing w:line="480" w:lineRule="auto"/>
              <w:rPr>
                <w:rFonts w:ascii="Times New Roman" w:hAnsi="Times New Roman" w:cs="Times New Roman"/>
                <w:sz w:val="24"/>
                <w:szCs w:val="24"/>
              </w:rPr>
            </w:pPr>
          </w:p>
        </w:tc>
        <w:tc>
          <w:tcPr>
            <w:tcW w:w="1621" w:type="dxa"/>
          </w:tcPr>
          <w:p w:rsidR="008A694E" w:rsidRPr="00A119F0" w:rsidRDefault="008A694E"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Operation risk</w:t>
            </w:r>
          </w:p>
        </w:tc>
        <w:tc>
          <w:tcPr>
            <w:tcW w:w="2340" w:type="dxa"/>
          </w:tcPr>
          <w:p w:rsidR="008A694E" w:rsidRPr="00A119F0" w:rsidRDefault="001D4D0A"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Increased employees turnover</w:t>
            </w:r>
          </w:p>
        </w:tc>
        <w:tc>
          <w:tcPr>
            <w:tcW w:w="1350" w:type="dxa"/>
          </w:tcPr>
          <w:p w:rsidR="008A694E" w:rsidRPr="00A119F0" w:rsidRDefault="008511A3"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 xml:space="preserve">Possible </w:t>
            </w:r>
          </w:p>
        </w:tc>
        <w:tc>
          <w:tcPr>
            <w:tcW w:w="1710" w:type="dxa"/>
          </w:tcPr>
          <w:p w:rsidR="008A694E"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H</w:t>
            </w:r>
            <w:r w:rsidR="00F23E4A" w:rsidRPr="00A119F0">
              <w:rPr>
                <w:rFonts w:ascii="Times New Roman" w:hAnsi="Times New Roman" w:cs="Times New Roman"/>
                <w:sz w:val="24"/>
                <w:szCs w:val="24"/>
              </w:rPr>
              <w:t>uman resource management</w:t>
            </w:r>
          </w:p>
        </w:tc>
        <w:tc>
          <w:tcPr>
            <w:tcW w:w="1278" w:type="dxa"/>
          </w:tcPr>
          <w:p w:rsidR="008A694E"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3</w:t>
            </w:r>
          </w:p>
        </w:tc>
      </w:tr>
      <w:tr w:rsidR="00A119F0" w:rsidRPr="00A119F0" w:rsidTr="00A119F0">
        <w:trPr>
          <w:trHeight w:val="270"/>
        </w:trPr>
        <w:tc>
          <w:tcPr>
            <w:tcW w:w="1529" w:type="dxa"/>
            <w:vMerge w:val="restart"/>
          </w:tcPr>
          <w:p w:rsidR="008A694E" w:rsidRPr="00A119F0" w:rsidRDefault="008A694E"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Legal</w:t>
            </w:r>
          </w:p>
        </w:tc>
        <w:tc>
          <w:tcPr>
            <w:tcW w:w="1621" w:type="dxa"/>
          </w:tcPr>
          <w:p w:rsidR="008A694E" w:rsidRPr="00A119F0" w:rsidRDefault="008A694E"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Compliance risks</w:t>
            </w:r>
          </w:p>
        </w:tc>
        <w:tc>
          <w:tcPr>
            <w:tcW w:w="2340" w:type="dxa"/>
          </w:tcPr>
          <w:p w:rsidR="008A694E" w:rsidRPr="00A119F0" w:rsidRDefault="00127344"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Increased expenses and loss due to  international laws</w:t>
            </w:r>
          </w:p>
        </w:tc>
        <w:tc>
          <w:tcPr>
            <w:tcW w:w="1350" w:type="dxa"/>
          </w:tcPr>
          <w:p w:rsidR="008A694E" w:rsidRPr="00A119F0" w:rsidRDefault="008511A3"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 xml:space="preserve">Possible </w:t>
            </w:r>
          </w:p>
        </w:tc>
        <w:tc>
          <w:tcPr>
            <w:tcW w:w="1710" w:type="dxa"/>
          </w:tcPr>
          <w:p w:rsidR="008A694E"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O</w:t>
            </w:r>
            <w:r w:rsidR="00F23E4A" w:rsidRPr="00A119F0">
              <w:rPr>
                <w:rFonts w:ascii="Times New Roman" w:hAnsi="Times New Roman" w:cs="Times New Roman"/>
                <w:sz w:val="24"/>
                <w:szCs w:val="24"/>
              </w:rPr>
              <w:t>perations</w:t>
            </w:r>
          </w:p>
        </w:tc>
        <w:tc>
          <w:tcPr>
            <w:tcW w:w="1278" w:type="dxa"/>
          </w:tcPr>
          <w:p w:rsidR="008A694E"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4</w:t>
            </w:r>
          </w:p>
        </w:tc>
      </w:tr>
      <w:tr w:rsidR="00A119F0" w:rsidRPr="00A119F0" w:rsidTr="00A119F0">
        <w:trPr>
          <w:trHeight w:val="255"/>
        </w:trPr>
        <w:tc>
          <w:tcPr>
            <w:tcW w:w="1529" w:type="dxa"/>
            <w:vMerge/>
          </w:tcPr>
          <w:p w:rsidR="008A694E" w:rsidRPr="00A119F0" w:rsidRDefault="008A694E" w:rsidP="00A119F0">
            <w:pPr>
              <w:spacing w:line="480" w:lineRule="auto"/>
              <w:rPr>
                <w:rFonts w:ascii="Times New Roman" w:hAnsi="Times New Roman" w:cs="Times New Roman"/>
                <w:sz w:val="24"/>
                <w:szCs w:val="24"/>
              </w:rPr>
            </w:pPr>
          </w:p>
        </w:tc>
        <w:tc>
          <w:tcPr>
            <w:tcW w:w="1621" w:type="dxa"/>
          </w:tcPr>
          <w:p w:rsidR="008A694E" w:rsidRPr="00A119F0" w:rsidRDefault="008A694E"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Contract risks</w:t>
            </w:r>
          </w:p>
        </w:tc>
        <w:tc>
          <w:tcPr>
            <w:tcW w:w="2340" w:type="dxa"/>
          </w:tcPr>
          <w:p w:rsidR="008A694E" w:rsidRPr="00A119F0" w:rsidRDefault="00127344"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Incomplete projects</w:t>
            </w:r>
          </w:p>
        </w:tc>
        <w:tc>
          <w:tcPr>
            <w:tcW w:w="1350" w:type="dxa"/>
          </w:tcPr>
          <w:p w:rsidR="008A694E" w:rsidRPr="00A119F0" w:rsidRDefault="008511A3"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 xml:space="preserve">Probable </w:t>
            </w:r>
          </w:p>
        </w:tc>
        <w:tc>
          <w:tcPr>
            <w:tcW w:w="1710" w:type="dxa"/>
          </w:tcPr>
          <w:p w:rsidR="008A694E"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S</w:t>
            </w:r>
            <w:r w:rsidR="00F23E4A" w:rsidRPr="00A119F0">
              <w:rPr>
                <w:rFonts w:ascii="Times New Roman" w:hAnsi="Times New Roman" w:cs="Times New Roman"/>
                <w:sz w:val="24"/>
                <w:szCs w:val="24"/>
              </w:rPr>
              <w:t>trategy</w:t>
            </w:r>
          </w:p>
        </w:tc>
        <w:tc>
          <w:tcPr>
            <w:tcW w:w="1278" w:type="dxa"/>
          </w:tcPr>
          <w:p w:rsidR="008A694E"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2</w:t>
            </w:r>
          </w:p>
        </w:tc>
      </w:tr>
      <w:tr w:rsidR="00A119F0" w:rsidRPr="00A119F0" w:rsidTr="00A119F0">
        <w:trPr>
          <w:trHeight w:val="270"/>
        </w:trPr>
        <w:tc>
          <w:tcPr>
            <w:tcW w:w="1529" w:type="dxa"/>
            <w:vMerge w:val="restart"/>
          </w:tcPr>
          <w:p w:rsidR="008A694E" w:rsidRPr="00A119F0" w:rsidRDefault="008A694E"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Technology</w:t>
            </w:r>
          </w:p>
        </w:tc>
        <w:tc>
          <w:tcPr>
            <w:tcW w:w="1621" w:type="dxa"/>
          </w:tcPr>
          <w:p w:rsidR="008A694E" w:rsidRPr="00A119F0" w:rsidRDefault="008A694E" w:rsidP="00A119F0">
            <w:pPr>
              <w:spacing w:line="480" w:lineRule="auto"/>
              <w:rPr>
                <w:rFonts w:ascii="Times New Roman" w:hAnsi="Times New Roman" w:cs="Times New Roman"/>
                <w:sz w:val="24"/>
                <w:szCs w:val="24"/>
              </w:rPr>
            </w:pPr>
            <w:proofErr w:type="spellStart"/>
            <w:r w:rsidRPr="00A119F0">
              <w:rPr>
                <w:rFonts w:ascii="Times New Roman" w:hAnsi="Times New Roman" w:cs="Times New Roman"/>
                <w:sz w:val="24"/>
                <w:szCs w:val="24"/>
              </w:rPr>
              <w:t>Goefencing</w:t>
            </w:r>
            <w:proofErr w:type="spellEnd"/>
            <w:r w:rsidRPr="00A119F0">
              <w:rPr>
                <w:rFonts w:ascii="Times New Roman" w:hAnsi="Times New Roman" w:cs="Times New Roman"/>
                <w:sz w:val="24"/>
                <w:szCs w:val="24"/>
              </w:rPr>
              <w:t xml:space="preserve"> risks</w:t>
            </w:r>
          </w:p>
        </w:tc>
        <w:tc>
          <w:tcPr>
            <w:tcW w:w="2340" w:type="dxa"/>
          </w:tcPr>
          <w:p w:rsidR="008A694E" w:rsidRPr="00A119F0" w:rsidRDefault="00127344"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Damaging the quality of life globally</w:t>
            </w:r>
          </w:p>
        </w:tc>
        <w:tc>
          <w:tcPr>
            <w:tcW w:w="1350" w:type="dxa"/>
          </w:tcPr>
          <w:p w:rsidR="008A694E" w:rsidRPr="00A119F0" w:rsidRDefault="008511A3"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 xml:space="preserve">Possible </w:t>
            </w:r>
          </w:p>
        </w:tc>
        <w:tc>
          <w:tcPr>
            <w:tcW w:w="1710" w:type="dxa"/>
          </w:tcPr>
          <w:p w:rsidR="008A694E"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T</w:t>
            </w:r>
            <w:r w:rsidR="00F23E4A" w:rsidRPr="00A119F0">
              <w:rPr>
                <w:rFonts w:ascii="Times New Roman" w:hAnsi="Times New Roman" w:cs="Times New Roman"/>
                <w:sz w:val="24"/>
                <w:szCs w:val="24"/>
              </w:rPr>
              <w:t>echnology and equipment</w:t>
            </w:r>
          </w:p>
        </w:tc>
        <w:tc>
          <w:tcPr>
            <w:tcW w:w="1278" w:type="dxa"/>
          </w:tcPr>
          <w:p w:rsidR="008A694E"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2</w:t>
            </w:r>
          </w:p>
        </w:tc>
      </w:tr>
      <w:tr w:rsidR="00A119F0" w:rsidRPr="00A119F0" w:rsidTr="00A119F0">
        <w:trPr>
          <w:trHeight w:val="255"/>
        </w:trPr>
        <w:tc>
          <w:tcPr>
            <w:tcW w:w="1529" w:type="dxa"/>
            <w:vMerge/>
          </w:tcPr>
          <w:p w:rsidR="008A694E" w:rsidRPr="00A119F0" w:rsidRDefault="008A694E" w:rsidP="00A119F0">
            <w:pPr>
              <w:spacing w:line="480" w:lineRule="auto"/>
              <w:rPr>
                <w:rFonts w:ascii="Times New Roman" w:hAnsi="Times New Roman" w:cs="Times New Roman"/>
                <w:sz w:val="24"/>
                <w:szCs w:val="24"/>
              </w:rPr>
            </w:pPr>
          </w:p>
        </w:tc>
        <w:tc>
          <w:tcPr>
            <w:tcW w:w="1621" w:type="dxa"/>
          </w:tcPr>
          <w:p w:rsidR="008A694E" w:rsidRPr="00A119F0" w:rsidRDefault="008A694E"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Big data risks</w:t>
            </w:r>
          </w:p>
        </w:tc>
        <w:tc>
          <w:tcPr>
            <w:tcW w:w="2340" w:type="dxa"/>
          </w:tcPr>
          <w:p w:rsidR="008A694E" w:rsidRPr="00A119F0" w:rsidRDefault="00127344"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Breaching of information</w:t>
            </w:r>
          </w:p>
        </w:tc>
        <w:tc>
          <w:tcPr>
            <w:tcW w:w="1350" w:type="dxa"/>
          </w:tcPr>
          <w:p w:rsidR="008A694E" w:rsidRPr="00A119F0" w:rsidRDefault="008511A3"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Probable</w:t>
            </w:r>
          </w:p>
        </w:tc>
        <w:tc>
          <w:tcPr>
            <w:tcW w:w="1710" w:type="dxa"/>
          </w:tcPr>
          <w:p w:rsidR="008A694E" w:rsidRPr="00A119F0" w:rsidRDefault="00F23E4A"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 xml:space="preserve">Technology and equipment </w:t>
            </w:r>
          </w:p>
        </w:tc>
        <w:tc>
          <w:tcPr>
            <w:tcW w:w="1278" w:type="dxa"/>
          </w:tcPr>
          <w:p w:rsidR="008A694E"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2</w:t>
            </w:r>
          </w:p>
        </w:tc>
      </w:tr>
      <w:tr w:rsidR="00A119F0" w:rsidRPr="00A119F0" w:rsidTr="00A119F0">
        <w:trPr>
          <w:trHeight w:val="555"/>
        </w:trPr>
        <w:tc>
          <w:tcPr>
            <w:tcW w:w="1529" w:type="dxa"/>
            <w:vMerge w:val="restart"/>
          </w:tcPr>
          <w:p w:rsidR="00D61F7B" w:rsidRPr="00A119F0" w:rsidRDefault="00D61F7B"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Investment</w:t>
            </w:r>
          </w:p>
        </w:tc>
        <w:tc>
          <w:tcPr>
            <w:tcW w:w="1621" w:type="dxa"/>
          </w:tcPr>
          <w:p w:rsidR="00D61F7B" w:rsidRPr="00A119F0" w:rsidRDefault="00D61F7B"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Global inflation rates</w:t>
            </w:r>
          </w:p>
        </w:tc>
        <w:tc>
          <w:tcPr>
            <w:tcW w:w="2340" w:type="dxa"/>
          </w:tcPr>
          <w:p w:rsidR="00D61F7B" w:rsidRPr="00A119F0" w:rsidRDefault="00127344"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Deterioration of rate of foreign exchange</w:t>
            </w:r>
          </w:p>
        </w:tc>
        <w:tc>
          <w:tcPr>
            <w:tcW w:w="1350" w:type="dxa"/>
          </w:tcPr>
          <w:p w:rsidR="00D61F7B" w:rsidRPr="00A119F0" w:rsidRDefault="00F23E4A"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 xml:space="preserve">Possible </w:t>
            </w:r>
          </w:p>
        </w:tc>
        <w:tc>
          <w:tcPr>
            <w:tcW w:w="1710" w:type="dxa"/>
          </w:tcPr>
          <w:p w:rsidR="00D61F7B"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Operations</w:t>
            </w:r>
          </w:p>
        </w:tc>
        <w:tc>
          <w:tcPr>
            <w:tcW w:w="1278" w:type="dxa"/>
          </w:tcPr>
          <w:p w:rsidR="00D61F7B"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2</w:t>
            </w:r>
          </w:p>
        </w:tc>
      </w:tr>
      <w:tr w:rsidR="00A119F0" w:rsidRPr="00A119F0" w:rsidTr="00A119F0">
        <w:trPr>
          <w:trHeight w:val="525"/>
        </w:trPr>
        <w:tc>
          <w:tcPr>
            <w:tcW w:w="1529" w:type="dxa"/>
            <w:vMerge/>
          </w:tcPr>
          <w:p w:rsidR="00D61F7B" w:rsidRPr="00A119F0" w:rsidRDefault="00D61F7B" w:rsidP="00A119F0">
            <w:pPr>
              <w:spacing w:line="480" w:lineRule="auto"/>
              <w:rPr>
                <w:rFonts w:ascii="Times New Roman" w:hAnsi="Times New Roman" w:cs="Times New Roman"/>
                <w:sz w:val="24"/>
                <w:szCs w:val="24"/>
              </w:rPr>
            </w:pPr>
          </w:p>
        </w:tc>
        <w:tc>
          <w:tcPr>
            <w:tcW w:w="1621" w:type="dxa"/>
          </w:tcPr>
          <w:p w:rsidR="00D61F7B" w:rsidRPr="00A119F0" w:rsidRDefault="00D61F7B"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Liquidity risks</w:t>
            </w:r>
          </w:p>
          <w:p w:rsidR="00D61F7B" w:rsidRPr="00A119F0" w:rsidRDefault="00D61F7B" w:rsidP="00A119F0">
            <w:pPr>
              <w:spacing w:line="480" w:lineRule="auto"/>
              <w:rPr>
                <w:rFonts w:ascii="Times New Roman" w:hAnsi="Times New Roman" w:cs="Times New Roman"/>
                <w:sz w:val="24"/>
                <w:szCs w:val="24"/>
              </w:rPr>
            </w:pPr>
          </w:p>
        </w:tc>
        <w:tc>
          <w:tcPr>
            <w:tcW w:w="2340" w:type="dxa"/>
          </w:tcPr>
          <w:p w:rsidR="00D61F7B" w:rsidRPr="00A119F0" w:rsidRDefault="00127344"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Inflexibility and loss</w:t>
            </w:r>
          </w:p>
        </w:tc>
        <w:tc>
          <w:tcPr>
            <w:tcW w:w="1350" w:type="dxa"/>
          </w:tcPr>
          <w:p w:rsidR="00D61F7B" w:rsidRPr="00A119F0" w:rsidRDefault="00F23E4A"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 xml:space="preserve">Possible </w:t>
            </w:r>
          </w:p>
        </w:tc>
        <w:tc>
          <w:tcPr>
            <w:tcW w:w="1710" w:type="dxa"/>
          </w:tcPr>
          <w:p w:rsidR="00D61F7B"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Operations</w:t>
            </w:r>
          </w:p>
        </w:tc>
        <w:tc>
          <w:tcPr>
            <w:tcW w:w="1278" w:type="dxa"/>
          </w:tcPr>
          <w:p w:rsidR="00D61F7B" w:rsidRPr="00A119F0" w:rsidRDefault="00B20B52" w:rsidP="00A119F0">
            <w:pPr>
              <w:spacing w:line="480" w:lineRule="auto"/>
              <w:rPr>
                <w:rFonts w:ascii="Times New Roman" w:hAnsi="Times New Roman" w:cs="Times New Roman"/>
                <w:sz w:val="24"/>
                <w:szCs w:val="24"/>
              </w:rPr>
            </w:pPr>
            <w:r w:rsidRPr="00A119F0">
              <w:rPr>
                <w:rFonts w:ascii="Times New Roman" w:hAnsi="Times New Roman" w:cs="Times New Roman"/>
                <w:sz w:val="24"/>
                <w:szCs w:val="24"/>
              </w:rPr>
              <w:t>2</w:t>
            </w:r>
          </w:p>
        </w:tc>
      </w:tr>
    </w:tbl>
    <w:p w:rsidR="00552772" w:rsidRDefault="00552772" w:rsidP="00552772">
      <w:pPr>
        <w:spacing w:line="480" w:lineRule="auto"/>
        <w:rPr>
          <w:rFonts w:ascii="Times New Roman" w:hAnsi="Times New Roman" w:cs="Times New Roman"/>
          <w:sz w:val="24"/>
          <w:szCs w:val="24"/>
        </w:rPr>
      </w:pPr>
    </w:p>
    <w:p w:rsidR="0096225A" w:rsidRDefault="00BB7247" w:rsidP="00BB7247">
      <w:pPr>
        <w:spacing w:line="480" w:lineRule="auto"/>
        <w:ind w:firstLine="720"/>
        <w:rPr>
          <w:rFonts w:ascii="Times New Roman" w:hAnsi="Times New Roman" w:cs="Times New Roman"/>
          <w:sz w:val="24"/>
          <w:szCs w:val="24"/>
        </w:rPr>
      </w:pPr>
      <w:r w:rsidRPr="00BB7247">
        <w:rPr>
          <w:rFonts w:ascii="Times New Roman" w:hAnsi="Times New Roman" w:cs="Times New Roman"/>
          <w:sz w:val="24"/>
          <w:szCs w:val="24"/>
        </w:rPr>
        <w:t>In summation, Amazon is one of the contemporary cooperation’s which identifies with many risk areas in their operations. Arguably, Amazon is supposed to expand its core management practices by putting more emphasis to the risks accounting from core areas such as marketing, financing, investment, legal, and technology areas (Reuters, 2019). More importantly, the management should be highly focused to foresee and address future risks for improved business performance.</w:t>
      </w:r>
    </w:p>
    <w:p w:rsidR="0096225A" w:rsidRDefault="0096225A" w:rsidP="0096225A">
      <w:pPr>
        <w:spacing w:line="480" w:lineRule="auto"/>
        <w:jc w:val="center"/>
        <w:rPr>
          <w:rFonts w:ascii="Times New Roman" w:hAnsi="Times New Roman" w:cs="Times New Roman"/>
          <w:sz w:val="24"/>
          <w:szCs w:val="24"/>
        </w:rPr>
      </w:pPr>
    </w:p>
    <w:p w:rsidR="0096225A" w:rsidRDefault="0096225A" w:rsidP="0096225A">
      <w:pPr>
        <w:spacing w:line="480" w:lineRule="auto"/>
        <w:jc w:val="center"/>
        <w:rPr>
          <w:rFonts w:ascii="Times New Roman" w:hAnsi="Times New Roman" w:cs="Times New Roman"/>
          <w:sz w:val="24"/>
          <w:szCs w:val="24"/>
        </w:rPr>
      </w:pPr>
    </w:p>
    <w:p w:rsidR="0096225A" w:rsidRDefault="0096225A" w:rsidP="0096225A">
      <w:pPr>
        <w:spacing w:line="480" w:lineRule="auto"/>
        <w:jc w:val="center"/>
        <w:rPr>
          <w:rFonts w:ascii="Times New Roman" w:hAnsi="Times New Roman" w:cs="Times New Roman"/>
          <w:sz w:val="24"/>
          <w:szCs w:val="24"/>
        </w:rPr>
      </w:pPr>
    </w:p>
    <w:p w:rsidR="0096225A" w:rsidRDefault="0096225A" w:rsidP="0096225A">
      <w:pPr>
        <w:spacing w:line="480" w:lineRule="auto"/>
        <w:jc w:val="center"/>
        <w:rPr>
          <w:rFonts w:ascii="Times New Roman" w:hAnsi="Times New Roman" w:cs="Times New Roman"/>
          <w:sz w:val="24"/>
          <w:szCs w:val="24"/>
        </w:rPr>
      </w:pPr>
    </w:p>
    <w:p w:rsidR="0096225A" w:rsidRDefault="0096225A" w:rsidP="00C52636">
      <w:pPr>
        <w:spacing w:line="480" w:lineRule="auto"/>
        <w:rPr>
          <w:rFonts w:ascii="Times New Roman" w:hAnsi="Times New Roman" w:cs="Times New Roman"/>
          <w:sz w:val="24"/>
          <w:szCs w:val="24"/>
        </w:rPr>
      </w:pPr>
    </w:p>
    <w:p w:rsidR="00C52636" w:rsidRDefault="00C52636" w:rsidP="00C52636">
      <w:pPr>
        <w:spacing w:line="480" w:lineRule="auto"/>
        <w:rPr>
          <w:rFonts w:ascii="Times New Roman" w:hAnsi="Times New Roman" w:cs="Times New Roman"/>
          <w:sz w:val="24"/>
          <w:szCs w:val="24"/>
        </w:rPr>
      </w:pPr>
    </w:p>
    <w:p w:rsidR="0096225A" w:rsidRDefault="0096225A" w:rsidP="0096225A">
      <w:pPr>
        <w:spacing w:line="480" w:lineRule="auto"/>
        <w:jc w:val="center"/>
        <w:rPr>
          <w:rFonts w:ascii="Times New Roman" w:hAnsi="Times New Roman" w:cs="Times New Roman"/>
          <w:sz w:val="24"/>
          <w:szCs w:val="24"/>
        </w:rPr>
      </w:pPr>
    </w:p>
    <w:p w:rsidR="00AC63B2" w:rsidRPr="00A119F0" w:rsidRDefault="00B20B52" w:rsidP="0096225A">
      <w:pPr>
        <w:spacing w:line="480" w:lineRule="auto"/>
        <w:jc w:val="center"/>
        <w:rPr>
          <w:rFonts w:ascii="Times New Roman" w:hAnsi="Times New Roman" w:cs="Times New Roman"/>
          <w:sz w:val="24"/>
          <w:szCs w:val="24"/>
        </w:rPr>
      </w:pPr>
      <w:r w:rsidRPr="00A119F0">
        <w:rPr>
          <w:rFonts w:ascii="Times New Roman" w:hAnsi="Times New Roman" w:cs="Times New Roman"/>
          <w:sz w:val="24"/>
          <w:szCs w:val="24"/>
        </w:rPr>
        <w:lastRenderedPageBreak/>
        <w:t>References</w:t>
      </w:r>
    </w:p>
    <w:p w:rsidR="00807627" w:rsidRPr="00A119F0" w:rsidRDefault="00807627" w:rsidP="0096225A">
      <w:pPr>
        <w:spacing w:line="480" w:lineRule="auto"/>
        <w:ind w:left="720" w:hanging="720"/>
        <w:rPr>
          <w:rFonts w:ascii="Times New Roman" w:hAnsi="Times New Roman" w:cs="Times New Roman"/>
          <w:sz w:val="24"/>
          <w:szCs w:val="24"/>
        </w:rPr>
      </w:pPr>
      <w:r w:rsidRPr="00A119F0">
        <w:rPr>
          <w:rFonts w:ascii="Times New Roman" w:hAnsi="Times New Roman" w:cs="Times New Roman"/>
          <w:sz w:val="24"/>
          <w:szCs w:val="24"/>
        </w:rPr>
        <w:t xml:space="preserve">Aiello, C. (2018). Competition and regulation pose greatest growth risks to Amazon. Retrieved from </w:t>
      </w:r>
      <w:hyperlink r:id="rId8" w:history="1">
        <w:r w:rsidRPr="0096225A">
          <w:rPr>
            <w:rStyle w:val="Hyperlink"/>
            <w:rFonts w:ascii="Times New Roman" w:hAnsi="Times New Roman" w:cs="Times New Roman"/>
            <w:color w:val="0070C0"/>
            <w:sz w:val="24"/>
            <w:szCs w:val="24"/>
          </w:rPr>
          <w:t>https://</w:t>
        </w:r>
      </w:hyperlink>
      <w:hyperlink r:id="rId9" w:history="1">
        <w:r w:rsidRPr="0096225A">
          <w:rPr>
            <w:rStyle w:val="Hyperlink"/>
            <w:rFonts w:ascii="Times New Roman" w:hAnsi="Times New Roman" w:cs="Times New Roman"/>
            <w:color w:val="0070C0"/>
            <w:sz w:val="24"/>
            <w:szCs w:val="24"/>
          </w:rPr>
          <w:t>www.cnbc.com/2018/09/04/mahaney</w:t>
        </w:r>
      </w:hyperlink>
      <w:r w:rsidRPr="0096225A">
        <w:rPr>
          <w:rFonts w:ascii="Times New Roman" w:hAnsi="Times New Roman" w:cs="Times New Roman"/>
          <w:color w:val="0070C0"/>
          <w:sz w:val="24"/>
          <w:szCs w:val="24"/>
          <w:u w:val="single"/>
        </w:rPr>
        <w:t>competition-and-regulation-pose-greatest-risks-to-amazon.html</w:t>
      </w:r>
    </w:p>
    <w:p w:rsidR="00807627" w:rsidRPr="00A119F0" w:rsidRDefault="00807627" w:rsidP="0096225A">
      <w:pPr>
        <w:spacing w:line="480" w:lineRule="auto"/>
        <w:ind w:left="720" w:hanging="720"/>
        <w:rPr>
          <w:rFonts w:ascii="Times New Roman" w:hAnsi="Times New Roman" w:cs="Times New Roman"/>
          <w:sz w:val="24"/>
          <w:szCs w:val="24"/>
        </w:rPr>
      </w:pPr>
      <w:proofErr w:type="gramStart"/>
      <w:r w:rsidRPr="00A119F0">
        <w:rPr>
          <w:rFonts w:ascii="Times New Roman" w:hAnsi="Times New Roman" w:cs="Times New Roman"/>
          <w:sz w:val="24"/>
          <w:szCs w:val="24"/>
        </w:rPr>
        <w:t>Amazon, (2016).About Amazon.</w:t>
      </w:r>
      <w:proofErr w:type="gramEnd"/>
      <w:r w:rsidRPr="00A119F0">
        <w:rPr>
          <w:rFonts w:ascii="Times New Roman" w:hAnsi="Times New Roman" w:cs="Times New Roman"/>
          <w:sz w:val="24"/>
          <w:szCs w:val="24"/>
        </w:rPr>
        <w:t xml:space="preserve"> Retrieved from </w:t>
      </w:r>
      <w:hyperlink r:id="rId10" w:history="1">
        <w:r w:rsidRPr="00A119F0">
          <w:rPr>
            <w:rStyle w:val="Hyperlink"/>
            <w:rFonts w:ascii="Times New Roman" w:hAnsi="Times New Roman" w:cs="Times New Roman"/>
            <w:sz w:val="24"/>
            <w:szCs w:val="24"/>
          </w:rPr>
          <w:t>https://www.aboutamazon.com</w:t>
        </w:r>
      </w:hyperlink>
      <w:hyperlink r:id="rId11" w:history="1">
        <w:r w:rsidRPr="00A119F0">
          <w:rPr>
            <w:rStyle w:val="Hyperlink"/>
            <w:rFonts w:ascii="Times New Roman" w:hAnsi="Times New Roman" w:cs="Times New Roman"/>
            <w:sz w:val="24"/>
            <w:szCs w:val="24"/>
          </w:rPr>
          <w:t>/</w:t>
        </w:r>
      </w:hyperlink>
    </w:p>
    <w:p w:rsidR="00807627" w:rsidRPr="00A119F0" w:rsidRDefault="00807627" w:rsidP="0096225A">
      <w:pPr>
        <w:spacing w:line="480" w:lineRule="auto"/>
        <w:ind w:left="720" w:hanging="720"/>
        <w:rPr>
          <w:rFonts w:ascii="Times New Roman" w:hAnsi="Times New Roman" w:cs="Times New Roman"/>
          <w:sz w:val="24"/>
          <w:szCs w:val="24"/>
        </w:rPr>
      </w:pPr>
      <w:proofErr w:type="gramStart"/>
      <w:r w:rsidRPr="00A119F0">
        <w:rPr>
          <w:rFonts w:ascii="Times New Roman" w:hAnsi="Times New Roman" w:cs="Times New Roman"/>
          <w:sz w:val="24"/>
          <w:szCs w:val="24"/>
        </w:rPr>
        <w:t>Berg, N &amp; Knights, M. (2019).</w:t>
      </w:r>
      <w:proofErr w:type="gramEnd"/>
      <w:r w:rsidRPr="00A119F0">
        <w:rPr>
          <w:rFonts w:ascii="Times New Roman" w:hAnsi="Times New Roman" w:cs="Times New Roman"/>
          <w:sz w:val="24"/>
          <w:szCs w:val="24"/>
        </w:rPr>
        <w:t xml:space="preserve"> How the world’s most relentless retailer will continue to revolutionize commerce. New York, NY: </w:t>
      </w:r>
      <w:proofErr w:type="spellStart"/>
      <w:r w:rsidRPr="00A119F0">
        <w:rPr>
          <w:rFonts w:ascii="Times New Roman" w:hAnsi="Times New Roman" w:cs="Times New Roman"/>
          <w:sz w:val="24"/>
          <w:szCs w:val="24"/>
        </w:rPr>
        <w:t>Kogan</w:t>
      </w:r>
      <w:proofErr w:type="spellEnd"/>
      <w:r w:rsidRPr="00A119F0">
        <w:rPr>
          <w:rFonts w:ascii="Times New Roman" w:hAnsi="Times New Roman" w:cs="Times New Roman"/>
          <w:sz w:val="24"/>
          <w:szCs w:val="24"/>
        </w:rPr>
        <w:t xml:space="preserve"> Page Limited Publishing</w:t>
      </w:r>
    </w:p>
    <w:p w:rsidR="00807627" w:rsidRDefault="00807627" w:rsidP="0096225A">
      <w:pPr>
        <w:spacing w:line="480" w:lineRule="auto"/>
        <w:ind w:left="720" w:hanging="720"/>
        <w:rPr>
          <w:rFonts w:ascii="Times New Roman" w:hAnsi="Times New Roman" w:cs="Times New Roman"/>
          <w:sz w:val="24"/>
          <w:szCs w:val="24"/>
        </w:rPr>
      </w:pPr>
      <w:r w:rsidRPr="00A119F0">
        <w:rPr>
          <w:rFonts w:ascii="Times New Roman" w:hAnsi="Times New Roman" w:cs="Times New Roman"/>
          <w:sz w:val="24"/>
          <w:szCs w:val="24"/>
        </w:rPr>
        <w:t xml:space="preserve">Chaffey, D. (2015). </w:t>
      </w:r>
      <w:proofErr w:type="gramStart"/>
      <w:r w:rsidRPr="00A119F0">
        <w:rPr>
          <w:rFonts w:ascii="Times New Roman" w:hAnsi="Times New Roman" w:cs="Times New Roman"/>
          <w:sz w:val="24"/>
          <w:szCs w:val="24"/>
        </w:rPr>
        <w:t>Digital business and e-commerce management strategy, implementation and practice.</w:t>
      </w:r>
      <w:proofErr w:type="gramEnd"/>
      <w:r w:rsidRPr="00A119F0">
        <w:rPr>
          <w:rFonts w:ascii="Times New Roman" w:hAnsi="Times New Roman" w:cs="Times New Roman"/>
          <w:sz w:val="24"/>
          <w:szCs w:val="24"/>
        </w:rPr>
        <w:t xml:space="preserve"> Harlow: Pearson Education Limited.</w:t>
      </w:r>
    </w:p>
    <w:p w:rsidR="00807627" w:rsidRDefault="00807627" w:rsidP="00807627">
      <w:pPr>
        <w:spacing w:line="480" w:lineRule="auto"/>
        <w:ind w:left="720" w:hanging="720"/>
        <w:rPr>
          <w:rFonts w:ascii="Times New Roman" w:hAnsi="Times New Roman" w:cs="Times New Roman"/>
          <w:sz w:val="24"/>
          <w:szCs w:val="24"/>
        </w:rPr>
      </w:pPr>
      <w:r w:rsidRPr="00807627">
        <w:rPr>
          <w:rFonts w:ascii="Times New Roman" w:hAnsi="Times New Roman" w:cs="Times New Roman"/>
          <w:sz w:val="24"/>
          <w:szCs w:val="24"/>
        </w:rPr>
        <w:t>Grey, B. (2019, February 24). Amazon business strategy: Insights of its core operations and Investments.</w:t>
      </w:r>
      <w:r>
        <w:rPr>
          <w:rFonts w:ascii="Times New Roman" w:hAnsi="Times New Roman" w:cs="Times New Roman"/>
          <w:sz w:val="24"/>
          <w:szCs w:val="24"/>
        </w:rPr>
        <w:t xml:space="preserve"> </w:t>
      </w:r>
      <w:r w:rsidRPr="00807627">
        <w:rPr>
          <w:rFonts w:ascii="Times New Roman" w:hAnsi="Times New Roman" w:cs="Times New Roman"/>
          <w:sz w:val="24"/>
          <w:szCs w:val="24"/>
        </w:rPr>
        <w:t xml:space="preserve">Retrieved from </w:t>
      </w:r>
      <w:hyperlink r:id="rId12" w:history="1">
        <w:r w:rsidRPr="003F2914">
          <w:rPr>
            <w:rStyle w:val="Hyperlink"/>
            <w:rFonts w:ascii="Times New Roman" w:hAnsi="Times New Roman" w:cs="Times New Roman"/>
            <w:sz w:val="24"/>
            <w:szCs w:val="24"/>
          </w:rPr>
          <w:t>https://www.greyb.com/amazon-business-strategy</w:t>
        </w:r>
      </w:hyperlink>
      <w:r>
        <w:rPr>
          <w:rFonts w:ascii="Times New Roman" w:hAnsi="Times New Roman" w:cs="Times New Roman"/>
          <w:sz w:val="24"/>
          <w:szCs w:val="24"/>
        </w:rPr>
        <w:t xml:space="preserve"> </w:t>
      </w:r>
    </w:p>
    <w:p w:rsidR="00807627" w:rsidRPr="00A119F0" w:rsidRDefault="00807627" w:rsidP="00807627">
      <w:pPr>
        <w:spacing w:line="480" w:lineRule="auto"/>
        <w:ind w:left="720" w:hanging="720"/>
        <w:rPr>
          <w:rFonts w:ascii="Times New Roman" w:hAnsi="Times New Roman" w:cs="Times New Roman"/>
          <w:sz w:val="24"/>
          <w:szCs w:val="24"/>
        </w:rPr>
      </w:pPr>
      <w:r w:rsidRPr="00807627">
        <w:rPr>
          <w:rFonts w:ascii="Times New Roman" w:hAnsi="Times New Roman" w:cs="Times New Roman"/>
          <w:sz w:val="24"/>
          <w:szCs w:val="24"/>
        </w:rPr>
        <w:t>Reuters. (2019). Company profile: Amazon.com Inc. Retrieved from</w:t>
      </w:r>
      <w:r>
        <w:rPr>
          <w:rFonts w:ascii="Times New Roman" w:hAnsi="Times New Roman" w:cs="Times New Roman"/>
          <w:sz w:val="24"/>
          <w:szCs w:val="24"/>
        </w:rPr>
        <w:t xml:space="preserve"> </w:t>
      </w:r>
      <w:hyperlink r:id="rId13" w:history="1">
        <w:r w:rsidRPr="003F2914">
          <w:rPr>
            <w:rStyle w:val="Hyperlink"/>
            <w:rFonts w:ascii="Times New Roman" w:hAnsi="Times New Roman" w:cs="Times New Roman"/>
            <w:sz w:val="24"/>
            <w:szCs w:val="24"/>
          </w:rPr>
          <w:t>https://www.reuters.com/finance/stocks/company-profile/AMZN.O</w:t>
        </w:r>
      </w:hyperlink>
      <w:r>
        <w:rPr>
          <w:rFonts w:ascii="Times New Roman" w:hAnsi="Times New Roman" w:cs="Times New Roman"/>
          <w:sz w:val="24"/>
          <w:szCs w:val="24"/>
        </w:rPr>
        <w:t xml:space="preserve"> </w:t>
      </w:r>
    </w:p>
    <w:p w:rsidR="00807627" w:rsidRPr="00A119F0" w:rsidRDefault="00807627">
      <w:pPr>
        <w:spacing w:line="480" w:lineRule="auto"/>
        <w:ind w:left="720" w:hanging="720"/>
        <w:rPr>
          <w:rFonts w:ascii="Times New Roman" w:hAnsi="Times New Roman" w:cs="Times New Roman"/>
          <w:sz w:val="24"/>
          <w:szCs w:val="24"/>
        </w:rPr>
      </w:pPr>
    </w:p>
    <w:sectPr w:rsidR="00807627" w:rsidRPr="00A119F0" w:rsidSect="00A119F0">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45C4" w:rsidRDefault="006845C4" w:rsidP="00A119F0">
      <w:pPr>
        <w:spacing w:after="0" w:line="240" w:lineRule="auto"/>
      </w:pPr>
      <w:r>
        <w:separator/>
      </w:r>
    </w:p>
  </w:endnote>
  <w:endnote w:type="continuationSeparator" w:id="0">
    <w:p w:rsidR="006845C4" w:rsidRDefault="006845C4" w:rsidP="00A119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45C4" w:rsidRDefault="006845C4" w:rsidP="00A119F0">
      <w:pPr>
        <w:spacing w:after="0" w:line="240" w:lineRule="auto"/>
      </w:pPr>
      <w:r>
        <w:separator/>
      </w:r>
    </w:p>
  </w:footnote>
  <w:footnote w:type="continuationSeparator" w:id="0">
    <w:p w:rsidR="006845C4" w:rsidRDefault="006845C4" w:rsidP="00A119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9F0" w:rsidRPr="00A119F0" w:rsidRDefault="00A119F0">
    <w:pPr>
      <w:pStyle w:val="Header"/>
      <w:rPr>
        <w:rFonts w:ascii="Times New Roman" w:hAnsi="Times New Roman" w:cs="Times New Roman"/>
        <w:sz w:val="24"/>
        <w:szCs w:val="24"/>
      </w:rPr>
    </w:pPr>
    <w:r w:rsidRPr="00A119F0">
      <w:rPr>
        <w:rFonts w:ascii="Times New Roman" w:hAnsi="Times New Roman" w:cs="Times New Roman"/>
        <w:sz w:val="24"/>
        <w:szCs w:val="24"/>
      </w:rPr>
      <w:t>RISK AREAS FOR THE AMAZON BUSINESS</w:t>
    </w:r>
    <w:r w:rsidRPr="00A119F0">
      <w:rPr>
        <w:rFonts w:ascii="Times New Roman" w:hAnsi="Times New Roman" w:cs="Times New Roman"/>
        <w:sz w:val="24"/>
        <w:szCs w:val="24"/>
      </w:rPr>
      <w:tab/>
    </w:r>
    <w:r w:rsidRPr="00A119F0">
      <w:rPr>
        <w:rFonts w:ascii="Times New Roman" w:hAnsi="Times New Roman" w:cs="Times New Roman"/>
        <w:sz w:val="24"/>
        <w:szCs w:val="24"/>
      </w:rPr>
      <w:tab/>
    </w:r>
    <w:sdt>
      <w:sdtPr>
        <w:rPr>
          <w:rFonts w:ascii="Times New Roman" w:hAnsi="Times New Roman" w:cs="Times New Roman"/>
          <w:sz w:val="24"/>
          <w:szCs w:val="24"/>
        </w:rPr>
        <w:id w:val="-1748183888"/>
        <w:docPartObj>
          <w:docPartGallery w:val="Page Numbers (Top of Page)"/>
          <w:docPartUnique/>
        </w:docPartObj>
      </w:sdtPr>
      <w:sdtEndPr>
        <w:rPr>
          <w:noProof/>
        </w:rPr>
      </w:sdtEndPr>
      <w:sdtContent>
        <w:r w:rsidR="001C7DD8" w:rsidRPr="00A119F0">
          <w:rPr>
            <w:rFonts w:ascii="Times New Roman" w:hAnsi="Times New Roman" w:cs="Times New Roman"/>
            <w:sz w:val="24"/>
            <w:szCs w:val="24"/>
          </w:rPr>
          <w:fldChar w:fldCharType="begin"/>
        </w:r>
        <w:r w:rsidRPr="00A119F0">
          <w:rPr>
            <w:rFonts w:ascii="Times New Roman" w:hAnsi="Times New Roman" w:cs="Times New Roman"/>
            <w:sz w:val="24"/>
            <w:szCs w:val="24"/>
          </w:rPr>
          <w:instrText xml:space="preserve"> PAGE   \* MERGEFORMAT </w:instrText>
        </w:r>
        <w:r w:rsidR="001C7DD8" w:rsidRPr="00A119F0">
          <w:rPr>
            <w:rFonts w:ascii="Times New Roman" w:hAnsi="Times New Roman" w:cs="Times New Roman"/>
            <w:sz w:val="24"/>
            <w:szCs w:val="24"/>
          </w:rPr>
          <w:fldChar w:fldCharType="separate"/>
        </w:r>
        <w:r w:rsidR="00291961">
          <w:rPr>
            <w:rFonts w:ascii="Times New Roman" w:hAnsi="Times New Roman" w:cs="Times New Roman"/>
            <w:noProof/>
            <w:sz w:val="24"/>
            <w:szCs w:val="24"/>
          </w:rPr>
          <w:t>2</w:t>
        </w:r>
        <w:r w:rsidR="001C7DD8" w:rsidRPr="00A119F0">
          <w:rPr>
            <w:rFonts w:ascii="Times New Roman" w:hAnsi="Times New Roman" w:cs="Times New Roman"/>
            <w:noProof/>
            <w:sz w:val="24"/>
            <w:szCs w:val="24"/>
          </w:rPr>
          <w:fldChar w:fldCharType="end"/>
        </w:r>
      </w:sdtContent>
    </w:sdt>
  </w:p>
  <w:p w:rsidR="00A119F0" w:rsidRPr="00A119F0" w:rsidRDefault="00A119F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9F0" w:rsidRPr="00A119F0" w:rsidRDefault="00A119F0" w:rsidP="00A119F0">
    <w:pPr>
      <w:rPr>
        <w:rFonts w:ascii="Times New Roman" w:hAnsi="Times New Roman" w:cs="Times New Roman"/>
        <w:sz w:val="24"/>
        <w:szCs w:val="24"/>
      </w:rPr>
    </w:pPr>
    <w:r w:rsidRPr="00A119F0">
      <w:rPr>
        <w:rFonts w:ascii="Times New Roman" w:hAnsi="Times New Roman" w:cs="Times New Roman"/>
        <w:sz w:val="24"/>
        <w:szCs w:val="24"/>
      </w:rPr>
      <w:t>Running head: RISK AREAS FOR THE AMAZON BUSINESS</w:t>
    </w:r>
    <w:r w:rsidRPr="00A119F0">
      <w:rPr>
        <w:rFonts w:ascii="Times New Roman" w:hAnsi="Times New Roman" w:cs="Times New Roman"/>
        <w:sz w:val="24"/>
        <w:szCs w:val="24"/>
      </w:rPr>
      <w:tab/>
    </w:r>
    <w:r w:rsidRPr="00A119F0">
      <w:rPr>
        <w:rFonts w:ascii="Times New Roman" w:hAnsi="Times New Roman" w:cs="Times New Roman"/>
        <w:sz w:val="24"/>
        <w:szCs w:val="24"/>
      </w:rPr>
      <w:tab/>
    </w:r>
    <w:r w:rsidRPr="00A119F0">
      <w:rPr>
        <w:rFonts w:ascii="Times New Roman" w:hAnsi="Times New Roman" w:cs="Times New Roman"/>
        <w:sz w:val="24"/>
        <w:szCs w:val="24"/>
      </w:rPr>
      <w:tab/>
    </w:r>
    <w:sdt>
      <w:sdtPr>
        <w:rPr>
          <w:rFonts w:ascii="Times New Roman" w:hAnsi="Times New Roman" w:cs="Times New Roman"/>
          <w:sz w:val="24"/>
          <w:szCs w:val="24"/>
        </w:rPr>
        <w:id w:val="-878249032"/>
        <w:docPartObj>
          <w:docPartGallery w:val="Page Numbers (Top of Page)"/>
          <w:docPartUnique/>
        </w:docPartObj>
      </w:sdtPr>
      <w:sdtEndPr>
        <w:rPr>
          <w:noProof/>
        </w:rPr>
      </w:sdtEndPr>
      <w:sdtContent>
        <w:r w:rsidR="001C7DD8" w:rsidRPr="00A119F0">
          <w:rPr>
            <w:rFonts w:ascii="Times New Roman" w:hAnsi="Times New Roman" w:cs="Times New Roman"/>
            <w:sz w:val="24"/>
            <w:szCs w:val="24"/>
          </w:rPr>
          <w:fldChar w:fldCharType="begin"/>
        </w:r>
        <w:r w:rsidRPr="00A119F0">
          <w:rPr>
            <w:rFonts w:ascii="Times New Roman" w:hAnsi="Times New Roman" w:cs="Times New Roman"/>
            <w:sz w:val="24"/>
            <w:szCs w:val="24"/>
          </w:rPr>
          <w:instrText xml:space="preserve"> PAGE   \* MERGEFORMAT </w:instrText>
        </w:r>
        <w:r w:rsidR="001C7DD8" w:rsidRPr="00A119F0">
          <w:rPr>
            <w:rFonts w:ascii="Times New Roman" w:hAnsi="Times New Roman" w:cs="Times New Roman"/>
            <w:sz w:val="24"/>
            <w:szCs w:val="24"/>
          </w:rPr>
          <w:fldChar w:fldCharType="separate"/>
        </w:r>
        <w:r w:rsidR="00291961">
          <w:rPr>
            <w:rFonts w:ascii="Times New Roman" w:hAnsi="Times New Roman" w:cs="Times New Roman"/>
            <w:noProof/>
            <w:sz w:val="24"/>
            <w:szCs w:val="24"/>
          </w:rPr>
          <w:t>1</w:t>
        </w:r>
        <w:r w:rsidR="001C7DD8" w:rsidRPr="00A119F0">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939FE"/>
    <w:multiLevelType w:val="hybridMultilevel"/>
    <w:tmpl w:val="0F6287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AED"/>
    <w:rsid w:val="00110AE0"/>
    <w:rsid w:val="00127344"/>
    <w:rsid w:val="00183C09"/>
    <w:rsid w:val="001B1593"/>
    <w:rsid w:val="001C7DD8"/>
    <w:rsid w:val="001D4D0A"/>
    <w:rsid w:val="002431AA"/>
    <w:rsid w:val="00291961"/>
    <w:rsid w:val="00476E60"/>
    <w:rsid w:val="004E4B9F"/>
    <w:rsid w:val="00507E3E"/>
    <w:rsid w:val="005162F2"/>
    <w:rsid w:val="00552772"/>
    <w:rsid w:val="00585BD7"/>
    <w:rsid w:val="00644A77"/>
    <w:rsid w:val="006845C4"/>
    <w:rsid w:val="006A5AB3"/>
    <w:rsid w:val="00797213"/>
    <w:rsid w:val="00807627"/>
    <w:rsid w:val="008511A3"/>
    <w:rsid w:val="00883397"/>
    <w:rsid w:val="00893D32"/>
    <w:rsid w:val="008A694E"/>
    <w:rsid w:val="00902700"/>
    <w:rsid w:val="0096225A"/>
    <w:rsid w:val="009A5AED"/>
    <w:rsid w:val="00A119F0"/>
    <w:rsid w:val="00AC63B2"/>
    <w:rsid w:val="00B20B52"/>
    <w:rsid w:val="00B938D6"/>
    <w:rsid w:val="00B96904"/>
    <w:rsid w:val="00BB7247"/>
    <w:rsid w:val="00C52636"/>
    <w:rsid w:val="00D40C71"/>
    <w:rsid w:val="00D61F7B"/>
    <w:rsid w:val="00D648E7"/>
    <w:rsid w:val="00D770B6"/>
    <w:rsid w:val="00DD64D2"/>
    <w:rsid w:val="00E22070"/>
    <w:rsid w:val="00EE0F84"/>
    <w:rsid w:val="00F23E4A"/>
    <w:rsid w:val="00F91EB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63B2"/>
    <w:pPr>
      <w:ind w:left="720"/>
      <w:contextualSpacing/>
    </w:pPr>
  </w:style>
  <w:style w:type="table" w:styleId="TableGrid">
    <w:name w:val="Table Grid"/>
    <w:basedOn w:val="TableNormal"/>
    <w:uiPriority w:val="59"/>
    <w:rsid w:val="00F91E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20B52"/>
    <w:rPr>
      <w:color w:val="0000FF" w:themeColor="hyperlink"/>
      <w:u w:val="single"/>
    </w:rPr>
  </w:style>
  <w:style w:type="paragraph" w:styleId="Header">
    <w:name w:val="header"/>
    <w:basedOn w:val="Normal"/>
    <w:link w:val="HeaderChar"/>
    <w:uiPriority w:val="99"/>
    <w:unhideWhenUsed/>
    <w:rsid w:val="00A119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19F0"/>
  </w:style>
  <w:style w:type="paragraph" w:styleId="Footer">
    <w:name w:val="footer"/>
    <w:basedOn w:val="Normal"/>
    <w:link w:val="FooterChar"/>
    <w:uiPriority w:val="99"/>
    <w:unhideWhenUsed/>
    <w:rsid w:val="00A119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19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63B2"/>
    <w:pPr>
      <w:ind w:left="720"/>
      <w:contextualSpacing/>
    </w:pPr>
  </w:style>
  <w:style w:type="table" w:styleId="TableGrid">
    <w:name w:val="Table Grid"/>
    <w:basedOn w:val="TableNormal"/>
    <w:uiPriority w:val="59"/>
    <w:rsid w:val="00F91E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20B52"/>
    <w:rPr>
      <w:color w:val="0000FF" w:themeColor="hyperlink"/>
      <w:u w:val="single"/>
    </w:rPr>
  </w:style>
  <w:style w:type="paragraph" w:styleId="Header">
    <w:name w:val="header"/>
    <w:basedOn w:val="Normal"/>
    <w:link w:val="HeaderChar"/>
    <w:uiPriority w:val="99"/>
    <w:unhideWhenUsed/>
    <w:rsid w:val="00A119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19F0"/>
  </w:style>
  <w:style w:type="paragraph" w:styleId="Footer">
    <w:name w:val="footer"/>
    <w:basedOn w:val="Normal"/>
    <w:link w:val="FooterChar"/>
    <w:uiPriority w:val="99"/>
    <w:unhideWhenUsed/>
    <w:rsid w:val="00A119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19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bc.com/2018/09/04/mahaney" TargetMode="External"/><Relationship Id="rId13" Type="http://schemas.openxmlformats.org/officeDocument/2006/relationships/hyperlink" Target="https://www.reuters.com/finance/stocks/company-profile/AMZN.O"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greyb.com/amazon-business-strategy"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aboutamazon.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aboutamazon.com/" TargetMode="External"/><Relationship Id="rId4" Type="http://schemas.openxmlformats.org/officeDocument/2006/relationships/settings" Target="settings.xml"/><Relationship Id="rId9" Type="http://schemas.openxmlformats.org/officeDocument/2006/relationships/hyperlink" Target="https://www.cnbc.com/2018/09/04/mahaney"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726</Words>
  <Characters>4141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4858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2019-07-05T17:38:00Z</dcterms:created>
  <dcterms:modified xsi:type="dcterms:W3CDTF">2019-07-05T17:38:00Z</dcterms:modified>
</cp:coreProperties>
</file>